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 Angry Garden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 was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aware of damage to the environment during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my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studies as a scientist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in the early 1970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s,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but I am not sure when general abuse turned into major threat. Neither am I sure when for me it became an emotive issue, but now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it is clear that it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connect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to the very being of civilisation.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For this reason, </w:t>
      </w:r>
      <w:r>
        <w:rPr>
          <w:rFonts w:ascii="Arial" w:hAnsi="Arial"/>
          <w:i w:val="1"/>
          <w:iCs w:val="1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 Angry Garden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takes a longer-term view, the Earth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and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human action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seen within a broader and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somewhat detached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perspective,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reflected in the titl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e which implies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that the world has a personality, one which does not like what is being done to it.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 w:hint="default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The first movement, which had a working title of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‘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Creation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appea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rs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from nothing other than the win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d. 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he feel is edgy and etherea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l,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 minor second being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the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fr-FR"/>
          <w14:textFill>
            <w14:solidFill>
              <w14:srgbClr w14:val="555555"/>
            </w14:solidFill>
          </w14:textFill>
        </w:rPr>
        <w:t xml:space="preserve"> important interval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,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most powerful at the words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that would nail God's palm to Time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. The second movement,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‘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Eden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, is light in character, more reminiscent of a dripping rain forest than that of Adam and Eve.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The third movement, built around the age of the dinosaur, not surprisingly is heavy and ponderous, but with a majesty that reflects the grandness of the inhabitants.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Man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’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s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entrance is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in the fourth movement,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it-IT"/>
          <w14:textFill>
            <w14:solidFill>
              <w14:srgbClr w14:val="555555"/>
            </w14:solidFill>
          </w14:textFill>
        </w:rPr>
        <w:t xml:space="preserve">via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an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instrument that represent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early civilisations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,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the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didgeridoo. The choir has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‘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>primitiv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e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’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sounds, gradually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constructing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the vowels of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 Western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 xml:space="preserve"> alphabet.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F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rom here the tension builds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fr-FR"/>
          <w14:textFill>
            <w14:solidFill>
              <w14:srgbClr w14:val="555555"/>
            </w14:solidFill>
          </w14:textFill>
        </w:rPr>
        <w:t>phrases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such as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more mouths, more land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and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turn up the heat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providing the driving force.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effect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of Man was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held for the final movement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, the crushed semitone reappears as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ice creak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under off-beat motifs within the strings.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This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fr-FR"/>
          <w14:textFill>
            <w14:solidFill>
              <w14:srgbClr w14:val="555555"/>
            </w14:solidFill>
          </w14:textFill>
        </w:rPr>
        <w:t xml:space="preserve"> section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ends with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the words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the signs of chan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ge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, but of equal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import is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the gentle singing of</w:t>
      </w:r>
      <w:r>
        <w:rPr>
          <w:rFonts w:ascii="Arial" w:hAnsi="Arial"/>
          <w:outline w:val="0"/>
          <w:color w:val="545454"/>
          <w:sz w:val="32"/>
          <w:szCs w:val="32"/>
          <w:rtl w:val="0"/>
          <w14:textFill>
            <w14:solidFill>
              <w14:srgbClr w14:val="555555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and so the prophecies have come to pas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s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It was tempting to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finish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with the warmth of this passage but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seemed a luxury inappropriate to the subject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matter,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and my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own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feelings. Wherever one's beliefs lie, nothing is forever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, and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the opening words of 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Stillness 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Darkness Emptiness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Silence</w:t>
      </w:r>
      <w:r>
        <w:rPr>
          <w:rFonts w:ascii="Arial" w:hAnsi="Arial" w:hint="default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 xml:space="preserve"> draw the piece to its close, ending where it began, with the w</w:t>
      </w:r>
      <w:r>
        <w:rPr>
          <w:rFonts w:ascii="Arial" w:hAnsi="Arial"/>
          <w:outline w:val="0"/>
          <w:color w:val="545454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ind.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